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77DBB" w14:textId="7A8619F7" w:rsidR="00562C36" w:rsidRDefault="00562C36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"/>
          <w:color w:val="000000"/>
          <w:lang w:eastAsia="it-IT"/>
        </w:rPr>
      </w:pPr>
      <w:r w:rsidRPr="00AB235C">
        <w:rPr>
          <w:rFonts w:ascii="Cambria" w:eastAsia="Calibri" w:hAnsi="Cambria" w:cs="Times"/>
          <w:color w:val="000000"/>
          <w:lang w:eastAsia="it-IT"/>
        </w:rPr>
        <w:t xml:space="preserve">NOTA STAMPA </w:t>
      </w:r>
    </w:p>
    <w:p w14:paraId="416D4150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"/>
          <w:color w:val="000000"/>
          <w:sz w:val="36"/>
          <w:szCs w:val="36"/>
          <w:lang w:eastAsia="it-IT"/>
        </w:rPr>
      </w:pPr>
    </w:p>
    <w:p w14:paraId="50075ABD" w14:textId="117B5A94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36"/>
          <w:szCs w:val="36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>Legge di Bilancio 202</w:t>
      </w:r>
      <w:r w:rsidR="001E0F48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>6</w:t>
      </w:r>
      <w:r w:rsidRPr="00AB235C">
        <w:rPr>
          <w:rFonts w:ascii="Cambria" w:eastAsia="Calibri" w:hAnsi="Cambria" w:cs="Times-Bold"/>
          <w:b/>
          <w:bCs/>
          <w:sz w:val="36"/>
          <w:szCs w:val="36"/>
          <w:lang w:eastAsia="it-IT"/>
        </w:rPr>
        <w:t>: Aifos segnala una lacuna sugli incentivi per salute e sicurezza sul lavoro</w:t>
      </w:r>
    </w:p>
    <w:p w14:paraId="4530DE33" w14:textId="77777777" w:rsidR="00AB235C" w:rsidRPr="00AB235C" w:rsidRDefault="00AB235C" w:rsidP="00AB235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L’Ufficio Studi Aifos denuncia una grave disconnessione tra politiche fiscali e tutela dei lavoratori: premiate imprese e investimenti, ma ignorata la prevenzione. </w:t>
      </w:r>
    </w:p>
    <w:p w14:paraId="6B6968B1" w14:textId="2ADA14BD" w:rsidR="00AB235C" w:rsidRPr="00AB235C" w:rsidRDefault="00AB235C" w:rsidP="00AB235C">
      <w:pPr>
        <w:pStyle w:val="Paragrafoelenco"/>
        <w:numPr>
          <w:ilvl w:val="0"/>
          <w:numId w:val="13"/>
        </w:num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>
        <w:rPr>
          <w:rFonts w:ascii="Cambria" w:eastAsia="Calibri" w:hAnsi="Cambria" w:cs="Times-Roman"/>
          <w:sz w:val="28"/>
          <w:szCs w:val="28"/>
          <w:lang w:eastAsia="it-IT"/>
        </w:rPr>
        <w:t>Le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proposte per integrare salute e sicurezza nelle strategie di sviluppo: introdurre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crediti d’imposta per investimenti in sicurezza certificata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, deduzioni maggiorate per la formazione che superi i minimi obbligatori, un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bonus performance sicurezza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per le imprese virtuose e la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condizionalità degli incentivi esistenti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al rispetto di standard verificabili in materia di salute e sicurezza sul lavoro.</w:t>
      </w:r>
    </w:p>
    <w:p w14:paraId="05DE17D1" w14:textId="77777777" w:rsidR="00AB235C" w:rsidRPr="00AB235C" w:rsidRDefault="00AB235C" w:rsidP="00AB235C">
      <w:pPr>
        <w:autoSpaceDE w:val="0"/>
        <w:autoSpaceDN w:val="0"/>
        <w:adjustRightInd w:val="0"/>
        <w:jc w:val="both"/>
        <w:rPr>
          <w:rFonts w:ascii="Cambria" w:eastAsia="Calibri" w:hAnsi="Cambria" w:cs="Times-Roman"/>
          <w:color w:val="6D6D6D"/>
          <w:sz w:val="28"/>
          <w:szCs w:val="28"/>
          <w:lang w:eastAsia="it-IT"/>
        </w:rPr>
      </w:pPr>
    </w:p>
    <w:p w14:paraId="3444535D" w14:textId="18DD5BE2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Roma,</w:t>
      </w:r>
      <w:r>
        <w:rPr>
          <w:rFonts w:ascii="Cambria" w:eastAsia="Calibri" w:hAnsi="Cambria" w:cs="Times-Bold"/>
          <w:b/>
          <w:bCs/>
          <w:sz w:val="28"/>
          <w:szCs w:val="28"/>
          <w:lang w:eastAsia="it-IT"/>
        </w:rPr>
        <w:t xml:space="preserve"> 27 Gennaio 2026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– La Legge di Bilancio 202</w:t>
      </w:r>
      <w:r w:rsidR="001E0F48">
        <w:rPr>
          <w:rFonts w:ascii="Cambria" w:eastAsia="Calibri" w:hAnsi="Cambria" w:cs="Times-Roman"/>
          <w:sz w:val="28"/>
          <w:szCs w:val="28"/>
          <w:lang w:eastAsia="it-IT"/>
        </w:rPr>
        <w:t>6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rafforza gli incentivi fiscali per investimenti, innovazione tecnologica e nuove assunzioni, ma non prevede alcun meccanismo strutturale dedicato alla salute e sicurezza sul lavoro. È quanto emerge dall’analisi elaborata dall’Ufficio Studi e legislativo di Aifos, che segnala una criticità rilevante nel rapporto tra politiche economiche e tutela dei lavoratori.</w:t>
      </w:r>
    </w:p>
    <w:p w14:paraId="3C3EF798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>L’Agenda 2030 parla chiaro:” non esiste crescita sostenibile senza tutela dei diritti e senza ambienti di lavoro sicuri», ricorda Aifos richiamando l’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Obiettivo 8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delle Nazioni Unite, che promuove “un’occupazione piena e produttiva e un lavoro dignitoso per tutti”, dedicato esplicitamente alla protezione dei lavoratori. Tuttavia, l’analisi della manovra evidenzia una distanza preoccupante tra gli obiettivi dichiarati e gli strumenti messi in campo.</w:t>
      </w:r>
    </w:p>
    <w:p w14:paraId="56AD4FC5" w14:textId="784044AD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La Legge di Bilancio 202</w:t>
      </w:r>
      <w:r w:rsidR="001E0F48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6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introduce infatti numerosi incentivi per sostenere investimenti, digitalizzazione e nuove assunzioni. Ma nessuna di queste misure premia o stimola gli investimenti che vadano oltre gli obblighi minimi in materia 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lastRenderedPageBreak/>
        <w:t xml:space="preserve">di salute e sicurezza sul lavoro. Secondo Aifos, questa impostazione genera almeno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tre rischi sistemici: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l’aumento dell’occupazione senza un corrispondente rafforzamento delle condizioni di sicurezza; l’accelerazione dei processi produttivi e tecnologici a scapito della gestione dei rischi; la percezione della prevenzione come costo non compensato, anziché come investimento strategico. Un paradosso, se si considera che – sulla base dei dati INAIL – il costo sociale ed economico di infortuni e malattie professionali in Italia è stimato in circa 45 miliardi l’anno. </w:t>
      </w:r>
    </w:p>
    <w:p w14:paraId="51DA1254" w14:textId="7777777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Particolarmente critica è la fase di transizione tecnologica.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L’introduzione rapida di robotica collaborativa, intelligenza artificiale e automazione avanzata comporta rischi nuovi e ancora parzialmente inesplorati, che richiedono competenze aggiornate, formazione avanzata e valutazioni dei rischi più sofisticate. In assenza di incentivi dedicati, avverte Aifos, la sicurezza rischia di restare ai margini proprio nel momento in cui dovrebbe essere centrale.</w:t>
      </w:r>
    </w:p>
    <w:p w14:paraId="35FE1195" w14:textId="6F417213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sz w:val="28"/>
          <w:szCs w:val="28"/>
          <w:lang w:eastAsia="it-IT"/>
        </w:rPr>
      </w:pP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Da qui una proposta articolata e concreta: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introdurre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crediti d’imposta per investimenti in sicurezza certificata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, deduzioni maggiorate per la formazione che superi i minimi obbligatori, un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bonus performance sicurezza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per le imprese virtuose e la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condizionalità degli incentivi esistenti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al rispetto di standard verificabili in materia di salute e sicurezza sul lavoro. Accanto alle leve fiscali, Aifos chiede di ripensare il sistema dei controlli in chiave più uniforme e orientata all’accompagnamento, investire nella ricerca nazionale sui rischi emergenti e integrare in modo più stringente la sicurezza nelle valutazioni 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ESG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 xml:space="preserve"> e nell’accesso al credito.</w:t>
      </w:r>
    </w:p>
    <w:p w14:paraId="6EF55EA3" w14:textId="5F0CF7A7" w:rsidR="00AB235C" w:rsidRPr="00AB235C" w:rsidRDefault="00AB235C" w:rsidP="00AB235C">
      <w:pPr>
        <w:autoSpaceDE w:val="0"/>
        <w:autoSpaceDN w:val="0"/>
        <w:adjustRightInd w:val="0"/>
        <w:spacing w:after="240"/>
        <w:jc w:val="both"/>
        <w:rPr>
          <w:rFonts w:ascii="Cambria" w:eastAsia="Calibri" w:hAnsi="Cambria" w:cs="Times-Roman"/>
          <w:i/>
          <w:iCs/>
          <w:sz w:val="28"/>
          <w:szCs w:val="28"/>
          <w:lang w:eastAsia="it-IT"/>
        </w:rPr>
      </w:pPr>
      <w:r w:rsidRPr="00AB235C">
        <w:rPr>
          <w:rFonts w:ascii="Cambria" w:eastAsia="Calibri" w:hAnsi="Cambria" w:cs="Times-Roman"/>
          <w:sz w:val="28"/>
          <w:szCs w:val="28"/>
          <w:lang w:eastAsia="it-IT"/>
        </w:rPr>
        <w:t>“</w:t>
      </w:r>
      <w:r w:rsidRPr="00AB235C">
        <w:rPr>
          <w:rFonts w:ascii="Cambria" w:eastAsia="Calibri" w:hAnsi="Cambria" w:cs="Times-Roman"/>
          <w:i/>
          <w:iCs/>
          <w:sz w:val="28"/>
          <w:szCs w:val="28"/>
          <w:lang w:eastAsia="it-IT"/>
        </w:rPr>
        <w:t xml:space="preserve">Incentivare la sicurezza non significa premiare l’adempimento – </w:t>
      </w:r>
      <w:r w:rsidRPr="00AB235C">
        <w:rPr>
          <w:rFonts w:ascii="Cambria" w:eastAsia="Calibri" w:hAnsi="Cambria" w:cs="Times-Roman"/>
          <w:sz w:val="28"/>
          <w:szCs w:val="28"/>
          <w:lang w:eastAsia="it-IT"/>
        </w:rPr>
        <w:t>spiega</w:t>
      </w:r>
      <w:r w:rsidRPr="00AB235C">
        <w:rPr>
          <w:rFonts w:ascii="Cambria" w:eastAsia="Calibri" w:hAnsi="Cambria" w:cs="Times-Bold"/>
          <w:b/>
          <w:bCs/>
          <w:sz w:val="28"/>
          <w:szCs w:val="28"/>
          <w:lang w:eastAsia="it-IT"/>
        </w:rPr>
        <w:t xml:space="preserve"> Paolo Carminati, Presidente Ai</w:t>
      </w:r>
      <w:r>
        <w:rPr>
          <w:rFonts w:ascii="Cambria" w:eastAsia="Calibri" w:hAnsi="Cambria" w:cs="Times-Bold"/>
          <w:b/>
          <w:bCs/>
          <w:sz w:val="28"/>
          <w:szCs w:val="28"/>
          <w:lang w:eastAsia="it-IT"/>
        </w:rPr>
        <w:t>fos</w:t>
      </w:r>
      <w:r w:rsidRPr="00AB235C">
        <w:rPr>
          <w:rFonts w:ascii="Cambria" w:eastAsia="Calibri" w:hAnsi="Cambria" w:cs="Times-Bold"/>
          <w:b/>
          <w:bCs/>
          <w:i/>
          <w:iCs/>
          <w:sz w:val="28"/>
          <w:szCs w:val="28"/>
          <w:lang w:eastAsia="it-IT"/>
        </w:rPr>
        <w:t xml:space="preserve"> </w:t>
      </w:r>
      <w:r w:rsidRPr="00AB235C">
        <w:rPr>
          <w:rFonts w:ascii="Cambria" w:eastAsia="Calibri" w:hAnsi="Cambria" w:cs="Times-Roman"/>
          <w:i/>
          <w:iCs/>
          <w:sz w:val="28"/>
          <w:szCs w:val="28"/>
          <w:lang w:eastAsia="it-IT"/>
        </w:rPr>
        <w:t>– ma stimolare livelli più avanzati di prevenzione, oggi lasciati alla sola capacità economica delle imprese. Integrare strutturalmente la salute e sicurezza nelle politiche fiscali e industriali non è un freno alla competitività, ma un fattore abilitante della produttività, della qualità del lavoro e della coesione sociale. Per questo l’Associazione chiede un intervento esplicitò delle istituzioni affinché la salute e sicurezza sul lavoro vengano riconosciute come leva strategica dello sviluppo economico, Perché, senza sicurezza, non può esistere crescita davvero sostenibile”.</w:t>
      </w:r>
    </w:p>
    <w:p w14:paraId="57A65AB7" w14:textId="77777777" w:rsidR="00BD08BB" w:rsidRPr="00AB235C" w:rsidRDefault="00BD08BB" w:rsidP="00AB235C">
      <w:pPr>
        <w:jc w:val="both"/>
        <w:rPr>
          <w:rFonts w:ascii="Cambria" w:hAnsi="Cambria"/>
          <w:sz w:val="28"/>
          <w:szCs w:val="28"/>
        </w:rPr>
      </w:pPr>
    </w:p>
    <w:p w14:paraId="3D42DAD7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</w:p>
    <w:p w14:paraId="48D248F7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______________________________</w:t>
      </w:r>
      <w:r w:rsidRPr="00AB235C">
        <w:rPr>
          <w:rFonts w:ascii="Cambria" w:hAnsi="Cambria"/>
          <w:sz w:val="28"/>
          <w:szCs w:val="28"/>
        </w:rPr>
        <w:br/>
      </w:r>
    </w:p>
    <w:p w14:paraId="0711468F" w14:textId="5D74F89A" w:rsidR="005F0755" w:rsidRPr="00AB235C" w:rsidRDefault="005F0755" w:rsidP="00AB235C">
      <w:pPr>
        <w:jc w:val="both"/>
        <w:rPr>
          <w:rFonts w:ascii="Cambria" w:hAnsi="Cambria"/>
          <w:b/>
          <w:bCs/>
          <w:sz w:val="28"/>
          <w:szCs w:val="28"/>
        </w:rPr>
      </w:pPr>
      <w:r w:rsidRPr="00AB235C">
        <w:rPr>
          <w:rFonts w:ascii="Cambria" w:hAnsi="Cambria"/>
          <w:b/>
          <w:bCs/>
          <w:sz w:val="28"/>
          <w:szCs w:val="28"/>
        </w:rPr>
        <w:t>Per contatti stampa</w:t>
      </w:r>
    </w:p>
    <w:p w14:paraId="3CCC9CEA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Filippo Di Nardo</w:t>
      </w:r>
    </w:p>
    <w:p w14:paraId="10AC82FE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Responsabile Ufficio Stampa AiFOS</w:t>
      </w:r>
    </w:p>
    <w:p w14:paraId="452A16C6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 xml:space="preserve">Mail: </w:t>
      </w:r>
      <w:hyperlink r:id="rId7" w:history="1">
        <w:r w:rsidRPr="00AB235C">
          <w:rPr>
            <w:rStyle w:val="Collegamentoipertestuale"/>
            <w:rFonts w:ascii="Cambria" w:hAnsi="Cambria"/>
            <w:sz w:val="28"/>
            <w:szCs w:val="28"/>
          </w:rPr>
          <w:t>ufficiostampa@aifos.it</w:t>
        </w:r>
      </w:hyperlink>
    </w:p>
    <w:p w14:paraId="7AB89539" w14:textId="77777777" w:rsidR="005F0755" w:rsidRPr="00AB235C" w:rsidRDefault="005F0755" w:rsidP="00AB235C">
      <w:pPr>
        <w:jc w:val="both"/>
        <w:rPr>
          <w:rFonts w:ascii="Cambria" w:hAnsi="Cambria"/>
          <w:sz w:val="28"/>
          <w:szCs w:val="28"/>
        </w:rPr>
      </w:pPr>
      <w:r w:rsidRPr="00AB235C">
        <w:rPr>
          <w:rFonts w:ascii="Cambria" w:hAnsi="Cambria"/>
          <w:sz w:val="28"/>
          <w:szCs w:val="28"/>
        </w:rPr>
        <w:t>Cell. 334 8014524</w:t>
      </w:r>
    </w:p>
    <w:p w14:paraId="1641B01C" w14:textId="77777777" w:rsidR="005F0755" w:rsidRPr="00AB235C" w:rsidRDefault="005F0755" w:rsidP="00AB235C">
      <w:pPr>
        <w:pBdr>
          <w:bottom w:val="single" w:sz="12" w:space="1" w:color="auto"/>
        </w:pBdr>
        <w:jc w:val="both"/>
        <w:rPr>
          <w:rFonts w:ascii="Cambria" w:hAnsi="Cambria"/>
          <w:sz w:val="28"/>
          <w:szCs w:val="28"/>
        </w:rPr>
      </w:pPr>
    </w:p>
    <w:p w14:paraId="710DD425" w14:textId="77777777" w:rsidR="005F0755" w:rsidRPr="00AB235C" w:rsidRDefault="005F0755" w:rsidP="00AB235C">
      <w:pPr>
        <w:pBdr>
          <w:bottom w:val="single" w:sz="12" w:space="1" w:color="auto"/>
        </w:pBdr>
        <w:jc w:val="both"/>
        <w:rPr>
          <w:rFonts w:ascii="Cambria" w:hAnsi="Cambria"/>
          <w:sz w:val="28"/>
          <w:szCs w:val="28"/>
        </w:rPr>
      </w:pPr>
    </w:p>
    <w:p w14:paraId="6D51859F" w14:textId="17623B22" w:rsidR="005F0755" w:rsidRPr="00BF22A3" w:rsidRDefault="005F0755" w:rsidP="00AB235C">
      <w:pPr>
        <w:jc w:val="both"/>
        <w:rPr>
          <w:rFonts w:ascii="Cambria" w:hAnsi="Cambria"/>
        </w:rPr>
      </w:pPr>
      <w:r w:rsidRPr="00AB235C">
        <w:rPr>
          <w:rFonts w:ascii="Cambria" w:hAnsi="Cambria"/>
          <w:sz w:val="28"/>
          <w:szCs w:val="28"/>
        </w:rPr>
        <w:t>AiFOS, Associazione Italiana Formatori ed Operatori della Sicurezza sul Lavoro, è un’associazione sindacale datoriale e professionale costituita in base all’art. 39 della Costituzione che rappresenta aziende e singoli formatori che hanno tra gli scopi quello della formazione. Organizzazione di riferimento in Italia per quanto attiene alla formazione nell’ambito di salute e sicurezza nei luoghi di lavoro, è attiva da oltre 20 anni e associa circa 2500 tra liberi professionisti ed aziende operanti nel settore della formazione e della consulenza. Il focus principale dell’associazione è la formazione e l’aggiornamento dei formatori e di tutte le figure professionali che operano nel campo della prevenzione. Il motto "Se ci scambiamo una moneta, avremo entrambi una m</w:t>
      </w:r>
      <w:r w:rsidRPr="00BF22A3">
        <w:rPr>
          <w:rFonts w:ascii="Cambria" w:hAnsi="Cambria"/>
        </w:rPr>
        <w:t>oneta. Se ci scambiamo un'idea, avremo entrambi due idee" ricalca il principio fondante dell'associazione, ovvero la condivisione di conoscenze e competenze tra i suoi associati affinché il loro operato sia sempre più improntato a qualità, capacità e responsabilità.</w:t>
      </w:r>
    </w:p>
    <w:p w14:paraId="0ECDCEE4" w14:textId="77777777" w:rsidR="00E01F2E" w:rsidRPr="00BF22A3" w:rsidRDefault="00E01F2E" w:rsidP="005F0755">
      <w:pPr>
        <w:tabs>
          <w:tab w:val="left" w:pos="3203"/>
        </w:tabs>
        <w:jc w:val="both"/>
        <w:rPr>
          <w:rFonts w:ascii="Cambria" w:hAnsi="Cambria"/>
          <w:sz w:val="36"/>
        </w:rPr>
      </w:pPr>
    </w:p>
    <w:sectPr w:rsidR="00E01F2E" w:rsidRPr="00BF22A3" w:rsidSect="00DF5068">
      <w:headerReference w:type="default" r:id="rId8"/>
      <w:pgSz w:w="11906" w:h="16838"/>
      <w:pgMar w:top="2269" w:right="1274" w:bottom="1843" w:left="1134" w:header="708" w:footer="18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E5CD7" w14:textId="77777777" w:rsidR="00743275" w:rsidRDefault="00743275" w:rsidP="00372F04">
      <w:r>
        <w:separator/>
      </w:r>
    </w:p>
  </w:endnote>
  <w:endnote w:type="continuationSeparator" w:id="0">
    <w:p w14:paraId="7C3C8D20" w14:textId="77777777" w:rsidR="00743275" w:rsidRDefault="00743275" w:rsidP="0037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2BA2" w14:textId="77777777" w:rsidR="00743275" w:rsidRDefault="00743275" w:rsidP="00372F04">
      <w:r>
        <w:separator/>
      </w:r>
    </w:p>
  </w:footnote>
  <w:footnote w:type="continuationSeparator" w:id="0">
    <w:p w14:paraId="2D573FB0" w14:textId="77777777" w:rsidR="00743275" w:rsidRDefault="00743275" w:rsidP="0037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44CA" w14:textId="337AD9C5" w:rsidR="00372F04" w:rsidRDefault="00D2242E" w:rsidP="00D2242E">
    <w:pPr>
      <w:pStyle w:val="Intestazione"/>
      <w:ind w:left="-709"/>
    </w:pPr>
    <w:r>
      <w:rPr>
        <w:noProof/>
      </w:rPr>
      <w:drawing>
        <wp:inline distT="0" distB="0" distL="0" distR="0" wp14:anchorId="17FCCA42" wp14:editId="0B0136F5">
          <wp:extent cx="1549400" cy="1775594"/>
          <wp:effectExtent l="0" t="0" r="0" b="0"/>
          <wp:docPr id="656106579" name="Immagine 1" descr="Immagine che contiene testo, Carattere, logo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106579" name="Immagine 1" descr="Immagine che contiene testo, Carattere, logo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363" r="74494"/>
                  <a:stretch>
                    <a:fillRect/>
                  </a:stretch>
                </pic:blipFill>
                <pic:spPr bwMode="auto">
                  <a:xfrm>
                    <a:off x="0" y="0"/>
                    <a:ext cx="1582707" cy="18137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683"/>
    <w:multiLevelType w:val="hybridMultilevel"/>
    <w:tmpl w:val="BEE852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57529"/>
    <w:multiLevelType w:val="hybridMultilevel"/>
    <w:tmpl w:val="EF8C8712"/>
    <w:lvl w:ilvl="0" w:tplc="B74EAEF2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15EB7"/>
    <w:multiLevelType w:val="hybridMultilevel"/>
    <w:tmpl w:val="948C4D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758B9"/>
    <w:multiLevelType w:val="hybridMultilevel"/>
    <w:tmpl w:val="9C90B6A0"/>
    <w:lvl w:ilvl="0" w:tplc="8E6656AC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C0733"/>
    <w:multiLevelType w:val="hybridMultilevel"/>
    <w:tmpl w:val="0234E792"/>
    <w:lvl w:ilvl="0" w:tplc="0410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F753B94"/>
    <w:multiLevelType w:val="hybridMultilevel"/>
    <w:tmpl w:val="AD7CEBF2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FCB033F"/>
    <w:multiLevelType w:val="hybridMultilevel"/>
    <w:tmpl w:val="760C27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277F9"/>
    <w:multiLevelType w:val="hybridMultilevel"/>
    <w:tmpl w:val="C39237B0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4A2079C9"/>
    <w:multiLevelType w:val="hybridMultilevel"/>
    <w:tmpl w:val="2DF8D77C"/>
    <w:lvl w:ilvl="0" w:tplc="0E60F6A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3461"/>
    <w:multiLevelType w:val="hybridMultilevel"/>
    <w:tmpl w:val="301CF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07781"/>
    <w:multiLevelType w:val="hybridMultilevel"/>
    <w:tmpl w:val="C456C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45379C"/>
    <w:multiLevelType w:val="hybridMultilevel"/>
    <w:tmpl w:val="8F44C0E2"/>
    <w:lvl w:ilvl="0" w:tplc="0E60F6AA">
      <w:start w:val="8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B7A5C"/>
    <w:multiLevelType w:val="hybridMultilevel"/>
    <w:tmpl w:val="DD34D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67894">
    <w:abstractNumId w:val="4"/>
  </w:num>
  <w:num w:numId="2" w16cid:durableId="1268927857">
    <w:abstractNumId w:val="5"/>
  </w:num>
  <w:num w:numId="3" w16cid:durableId="923149964">
    <w:abstractNumId w:val="7"/>
  </w:num>
  <w:num w:numId="4" w16cid:durableId="2016762048">
    <w:abstractNumId w:val="2"/>
  </w:num>
  <w:num w:numId="5" w16cid:durableId="295767473">
    <w:abstractNumId w:val="6"/>
  </w:num>
  <w:num w:numId="6" w16cid:durableId="1619752597">
    <w:abstractNumId w:val="3"/>
  </w:num>
  <w:num w:numId="7" w16cid:durableId="372658313">
    <w:abstractNumId w:val="11"/>
  </w:num>
  <w:num w:numId="8" w16cid:durableId="1799181335">
    <w:abstractNumId w:val="8"/>
  </w:num>
  <w:num w:numId="9" w16cid:durableId="1105072386">
    <w:abstractNumId w:val="1"/>
  </w:num>
  <w:num w:numId="10" w16cid:durableId="739863878">
    <w:abstractNumId w:val="0"/>
  </w:num>
  <w:num w:numId="11" w16cid:durableId="1390766025">
    <w:abstractNumId w:val="12"/>
  </w:num>
  <w:num w:numId="12" w16cid:durableId="1315528028">
    <w:abstractNumId w:val="9"/>
  </w:num>
  <w:num w:numId="13" w16cid:durableId="13429691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F04"/>
    <w:rsid w:val="0000118E"/>
    <w:rsid w:val="0002490E"/>
    <w:rsid w:val="00050F8F"/>
    <w:rsid w:val="000544E3"/>
    <w:rsid w:val="0006791E"/>
    <w:rsid w:val="000909A1"/>
    <w:rsid w:val="00093C8A"/>
    <w:rsid w:val="000A117B"/>
    <w:rsid w:val="000C4EDD"/>
    <w:rsid w:val="000D38D6"/>
    <w:rsid w:val="000E1CFA"/>
    <w:rsid w:val="0013467B"/>
    <w:rsid w:val="0015373D"/>
    <w:rsid w:val="0019732E"/>
    <w:rsid w:val="001E0F48"/>
    <w:rsid w:val="001F138B"/>
    <w:rsid w:val="00203469"/>
    <w:rsid w:val="0020375D"/>
    <w:rsid w:val="00235E21"/>
    <w:rsid w:val="0024083D"/>
    <w:rsid w:val="0027228E"/>
    <w:rsid w:val="00297F4E"/>
    <w:rsid w:val="002C2DD8"/>
    <w:rsid w:val="003102D8"/>
    <w:rsid w:val="003349E9"/>
    <w:rsid w:val="0036755A"/>
    <w:rsid w:val="00372F04"/>
    <w:rsid w:val="003A2596"/>
    <w:rsid w:val="003C427C"/>
    <w:rsid w:val="003E6FF2"/>
    <w:rsid w:val="003F0917"/>
    <w:rsid w:val="003F763C"/>
    <w:rsid w:val="004469AC"/>
    <w:rsid w:val="004D1F6E"/>
    <w:rsid w:val="004E7CA8"/>
    <w:rsid w:val="004F6CE3"/>
    <w:rsid w:val="005245B6"/>
    <w:rsid w:val="005464F3"/>
    <w:rsid w:val="00562C36"/>
    <w:rsid w:val="00562F44"/>
    <w:rsid w:val="00564460"/>
    <w:rsid w:val="005A0475"/>
    <w:rsid w:val="005B20E7"/>
    <w:rsid w:val="005F0755"/>
    <w:rsid w:val="00607DB4"/>
    <w:rsid w:val="0064731A"/>
    <w:rsid w:val="006A7ABF"/>
    <w:rsid w:val="006C7D2E"/>
    <w:rsid w:val="00712C88"/>
    <w:rsid w:val="00743275"/>
    <w:rsid w:val="00745FA0"/>
    <w:rsid w:val="007500CD"/>
    <w:rsid w:val="007C2EFD"/>
    <w:rsid w:val="007C53C3"/>
    <w:rsid w:val="00800B50"/>
    <w:rsid w:val="00827C9E"/>
    <w:rsid w:val="00840A3D"/>
    <w:rsid w:val="009028FD"/>
    <w:rsid w:val="00921359"/>
    <w:rsid w:val="0092158F"/>
    <w:rsid w:val="00925400"/>
    <w:rsid w:val="00926841"/>
    <w:rsid w:val="0095089C"/>
    <w:rsid w:val="00976BD1"/>
    <w:rsid w:val="00990892"/>
    <w:rsid w:val="009927C5"/>
    <w:rsid w:val="009B7F00"/>
    <w:rsid w:val="009E63F0"/>
    <w:rsid w:val="00A26B3B"/>
    <w:rsid w:val="00A431EC"/>
    <w:rsid w:val="00A6115C"/>
    <w:rsid w:val="00A70076"/>
    <w:rsid w:val="00A97BDC"/>
    <w:rsid w:val="00AB00A9"/>
    <w:rsid w:val="00AB235C"/>
    <w:rsid w:val="00AD21F8"/>
    <w:rsid w:val="00AF4CA0"/>
    <w:rsid w:val="00B05C4E"/>
    <w:rsid w:val="00B82797"/>
    <w:rsid w:val="00B83096"/>
    <w:rsid w:val="00BC1A6E"/>
    <w:rsid w:val="00BD08BB"/>
    <w:rsid w:val="00BD5949"/>
    <w:rsid w:val="00BF22A3"/>
    <w:rsid w:val="00BF51D5"/>
    <w:rsid w:val="00C13985"/>
    <w:rsid w:val="00C150A6"/>
    <w:rsid w:val="00C46A86"/>
    <w:rsid w:val="00CD3387"/>
    <w:rsid w:val="00D17237"/>
    <w:rsid w:val="00D2242E"/>
    <w:rsid w:val="00D2795A"/>
    <w:rsid w:val="00D96351"/>
    <w:rsid w:val="00DA5C25"/>
    <w:rsid w:val="00DF5068"/>
    <w:rsid w:val="00DF793C"/>
    <w:rsid w:val="00E01F2E"/>
    <w:rsid w:val="00E31FFC"/>
    <w:rsid w:val="00E6593D"/>
    <w:rsid w:val="00EC0E2E"/>
    <w:rsid w:val="00EE5CD5"/>
    <w:rsid w:val="00EE6D94"/>
    <w:rsid w:val="00F03558"/>
    <w:rsid w:val="00F219DA"/>
    <w:rsid w:val="00F35458"/>
    <w:rsid w:val="00F46265"/>
    <w:rsid w:val="00F9272A"/>
    <w:rsid w:val="00FA4219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D432B"/>
  <w15:chartTrackingRefBased/>
  <w15:docId w15:val="{3B63F92A-9A86-45A6-AF0D-9E4354D3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F2E"/>
    <w:rPr>
      <w:rFonts w:ascii="Times New Roman" w:eastAsia="Times New Roman" w:hAnsi="Times New Roman"/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9"/>
    <w:qFormat/>
    <w:rsid w:val="004E7CA8"/>
    <w:pPr>
      <w:spacing w:before="100" w:beforeAutospacing="1" w:after="100" w:afterAutospacing="1"/>
      <w:outlineLvl w:val="0"/>
    </w:pPr>
    <w:rPr>
      <w:rFonts w:ascii="Verdana" w:eastAsia="Calibri" w:hAnsi="Verdana"/>
      <w:b/>
      <w:bCs/>
      <w:kern w:val="36"/>
      <w:sz w:val="48"/>
      <w:szCs w:val="48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2F0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F04"/>
  </w:style>
  <w:style w:type="paragraph" w:styleId="Pidipagina">
    <w:name w:val="footer"/>
    <w:basedOn w:val="Normale"/>
    <w:link w:val="PidipaginaCarattere"/>
    <w:uiPriority w:val="99"/>
    <w:unhideWhenUsed/>
    <w:rsid w:val="00372F0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F04"/>
  </w:style>
  <w:style w:type="paragraph" w:styleId="Paragrafoelenco">
    <w:name w:val="List Paragraph"/>
    <w:basedOn w:val="Normale"/>
    <w:uiPriority w:val="34"/>
    <w:qFormat/>
    <w:rsid w:val="00E01F2E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E01F2E"/>
    <w:pPr>
      <w:spacing w:before="100" w:beforeAutospacing="1" w:after="100" w:afterAutospacing="1"/>
    </w:pPr>
    <w:rPr>
      <w:lang w:eastAsia="it-IT"/>
    </w:rPr>
  </w:style>
  <w:style w:type="character" w:customStyle="1" w:styleId="Titolo1Carattere">
    <w:name w:val="Titolo 1 Carattere"/>
    <w:link w:val="Titolo1"/>
    <w:uiPriority w:val="9"/>
    <w:rsid w:val="004E7CA8"/>
    <w:rPr>
      <w:rFonts w:ascii="Verdana" w:eastAsia="Calibri" w:hAnsi="Verdana" w:cs="Times New Roman"/>
      <w:b/>
      <w:bCs/>
      <w:kern w:val="36"/>
      <w:sz w:val="48"/>
      <w:szCs w:val="48"/>
      <w:lang w:val="x-none" w:eastAsia="it-IT"/>
    </w:rPr>
  </w:style>
  <w:style w:type="character" w:styleId="Collegamentoipertestuale">
    <w:name w:val="Hyperlink"/>
    <w:uiPriority w:val="99"/>
    <w:unhideWhenUsed/>
    <w:rsid w:val="004E7CA8"/>
    <w:rPr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AD2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9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1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ficiostampa@aifo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738</Words>
  <Characters>4603</Characters>
  <Application>Microsoft Office Word</Application>
  <DocSecurity>0</DocSecurity>
  <Lines>85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Links>
    <vt:vector size="18" baseType="variant">
      <vt:variant>
        <vt:i4>7471193</vt:i4>
      </vt:variant>
      <vt:variant>
        <vt:i4>6</vt:i4>
      </vt:variant>
      <vt:variant>
        <vt:i4>0</vt:i4>
      </vt:variant>
      <vt:variant>
        <vt:i4>5</vt:i4>
      </vt:variant>
      <vt:variant>
        <vt:lpwstr>mailto:videoconferenze@aifos.it</vt:lpwstr>
      </vt:variant>
      <vt:variant>
        <vt:lpwstr/>
      </vt:variant>
      <vt:variant>
        <vt:i4>7864398</vt:i4>
      </vt:variant>
      <vt:variant>
        <vt:i4>3</vt:i4>
      </vt:variant>
      <vt:variant>
        <vt:i4>0</vt:i4>
      </vt:variant>
      <vt:variant>
        <vt:i4>5</vt:i4>
      </vt:variant>
      <vt:variant>
        <vt:lpwstr>mailto:formarsi@aifos.it</vt:lpwstr>
      </vt:variant>
      <vt:variant>
        <vt:lpwstr/>
      </vt:variant>
      <vt:variant>
        <vt:i4>917571</vt:i4>
      </vt:variant>
      <vt:variant>
        <vt:i4>0</vt:i4>
      </vt:variant>
      <vt:variant>
        <vt:i4>0</vt:i4>
      </vt:variant>
      <vt:variant>
        <vt:i4>5</vt:i4>
      </vt:variant>
      <vt:variant>
        <vt:lpwstr>https://aifos.org/home/formazione/corsi/corsi-in-programma/corsi-in-programma/la-valutazione-delle-ricadute-formative-e-addestrative-sul-sistema-azienda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</dc:creator>
  <cp:keywords/>
  <dc:description/>
  <cp:lastModifiedBy>Carlo Peruchetti</cp:lastModifiedBy>
  <cp:revision>10</cp:revision>
  <dcterms:created xsi:type="dcterms:W3CDTF">2025-07-11T13:06:00Z</dcterms:created>
  <dcterms:modified xsi:type="dcterms:W3CDTF">2026-01-30T13:47:00Z</dcterms:modified>
</cp:coreProperties>
</file>